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76BF" w14:textId="77777777" w:rsidR="00624A55" w:rsidRPr="00624A55" w:rsidRDefault="00FC3985" w:rsidP="00624A55">
      <w:pPr>
        <w:pStyle w:val="Heading1"/>
        <w:rPr>
          <w:lang w:val="en-AU"/>
        </w:rPr>
      </w:pPr>
      <w:r>
        <w:t xml:space="preserve">school Smoking </w:t>
      </w:r>
      <w:r w:rsidR="00DE1EE8">
        <w:t xml:space="preserve">and Vaping </w:t>
      </w:r>
      <w:r>
        <w:t xml:space="preserve">Ban </w:t>
      </w:r>
    </w:p>
    <w:p w14:paraId="0BE85B0D" w14:textId="77777777" w:rsidR="00624A55" w:rsidRPr="00624A55" w:rsidRDefault="00A56C72" w:rsidP="00624A55">
      <w:pPr>
        <w:pStyle w:val="Intro"/>
      </w:pPr>
      <w:r w:rsidRPr="00A56C72">
        <w:t xml:space="preserve">By law, smoking </w:t>
      </w:r>
      <w:r w:rsidR="00DE1EE8">
        <w:t>and vaping are</w:t>
      </w:r>
      <w:r w:rsidRPr="00A56C72">
        <w:t xml:space="preserve"> banned within the grounds of, and within four metres of an entrance to, all childcare centres, kindergartens, </w:t>
      </w:r>
      <w:proofErr w:type="gramStart"/>
      <w:r w:rsidRPr="00A56C72">
        <w:t>preschools</w:t>
      </w:r>
      <w:proofErr w:type="gramEnd"/>
      <w:r w:rsidRPr="00A56C72">
        <w:t xml:space="preserve"> and schools.</w:t>
      </w:r>
    </w:p>
    <w:p w14:paraId="6BF9B725" w14:textId="77777777" w:rsidR="00C76D85" w:rsidRDefault="00C76D85" w:rsidP="00A56C72">
      <w:pPr>
        <w:pStyle w:val="Heading2"/>
        <w:sectPr w:rsidR="00C76D85" w:rsidSect="00C76D85">
          <w:headerReference w:type="default" r:id="rId11"/>
          <w:footerReference w:type="even" r:id="rId12"/>
          <w:footerReference w:type="default" r:id="rId13"/>
          <w:type w:val="continuous"/>
          <w:pgSz w:w="11900" w:h="16840"/>
          <w:pgMar w:top="2155" w:right="1268" w:bottom="1418" w:left="1134" w:header="709" w:footer="709" w:gutter="0"/>
          <w:cols w:space="708"/>
          <w:docGrid w:linePitch="360"/>
        </w:sectPr>
      </w:pPr>
    </w:p>
    <w:p w14:paraId="65F3F3D6" w14:textId="77777777" w:rsidR="00C76D85" w:rsidRDefault="00C76D85" w:rsidP="00A56C72">
      <w:pPr>
        <w:pStyle w:val="Heading2"/>
      </w:pPr>
    </w:p>
    <w:p w14:paraId="5ADE3A13" w14:textId="77777777" w:rsidR="00A56C72" w:rsidRDefault="00A56C72" w:rsidP="00A56C72">
      <w:pPr>
        <w:pStyle w:val="Heading2"/>
      </w:pPr>
      <w:r>
        <w:t>Where the ban appl</w:t>
      </w:r>
      <w:r w:rsidR="000259CE">
        <w:t>ies</w:t>
      </w:r>
    </w:p>
    <w:p w14:paraId="1A66C2DF" w14:textId="77777777" w:rsidR="00F07F84" w:rsidRPr="00F07F84" w:rsidRDefault="00F07F84" w:rsidP="00F07F84">
      <w:pPr>
        <w:rPr>
          <w:rFonts w:ascii="Arial" w:eastAsia="Times" w:hAnsi="Arial" w:cs="Times New Roman"/>
          <w:sz w:val="20"/>
          <w:szCs w:val="20"/>
          <w:lang w:val="en-AU"/>
        </w:rPr>
      </w:pPr>
      <w:r>
        <w:rPr>
          <w:noProof/>
          <w:lang w:val="en-AU" w:eastAsia="en-AU"/>
        </w:rPr>
        <w:drawing>
          <wp:anchor distT="0" distB="0" distL="114300" distR="114300" simplePos="0" relativeHeight="251660288" behindDoc="0" locked="0" layoutInCell="1" allowOverlap="1" wp14:anchorId="769F5EA8" wp14:editId="5AFF375C">
            <wp:simplePos x="0" y="0"/>
            <wp:positionH relativeFrom="column">
              <wp:posOffset>3270885</wp:posOffset>
            </wp:positionH>
            <wp:positionV relativeFrom="paragraph">
              <wp:posOffset>237490</wp:posOffset>
            </wp:positionV>
            <wp:extent cx="3129280" cy="1859280"/>
            <wp:effectExtent l="0" t="0" r="0" b="7620"/>
            <wp:wrapSquare wrapText="bothSides"/>
            <wp:docPr id="4" name="Picture 3" descr="This figure shows a plan of a school.  The no smoking area is indicated by shading. The shading covers everthing within the fence line of the centre including the outdoor play equipment and a sports oval. The no smoking area also extents 4 metres from two entrance to the school grounds but does not include a neighbouring Residential premi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H\HP&amp;CDP\Tobacco Policy and Programs\LEGISLATION\1__2014 Legislation Program\Tobacco Amendment Bill 2014\10_Council education and enforcement protocol\Diagrams - Final\SchoolsPlus diagrams - jpg format\School A.jpg"/>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3129280" cy="1859280"/>
                    </a:xfrm>
                    <a:prstGeom prst="rect">
                      <a:avLst/>
                    </a:prstGeom>
                    <a:noFill/>
                    <a:ln>
                      <a:noFill/>
                    </a:ln>
                  </pic:spPr>
                </pic:pic>
              </a:graphicData>
            </a:graphic>
          </wp:anchor>
        </w:drawing>
      </w:r>
      <w:r w:rsidRPr="00F07F84">
        <w:rPr>
          <w:rFonts w:ascii="Arial" w:eastAsia="Times" w:hAnsi="Arial" w:cs="Times New Roman"/>
          <w:sz w:val="20"/>
          <w:szCs w:val="20"/>
          <w:lang w:val="en-AU"/>
        </w:rPr>
        <w:t xml:space="preserve">The smoking </w:t>
      </w:r>
      <w:r w:rsidR="00DE1EE8">
        <w:rPr>
          <w:rFonts w:ascii="Arial" w:eastAsia="Times" w:hAnsi="Arial" w:cs="Times New Roman"/>
          <w:sz w:val="20"/>
          <w:szCs w:val="20"/>
          <w:lang w:val="en-AU"/>
        </w:rPr>
        <w:t xml:space="preserve">and vaping </w:t>
      </w:r>
      <w:r w:rsidRPr="00F07F84">
        <w:rPr>
          <w:rFonts w:ascii="Arial" w:eastAsia="Times" w:hAnsi="Arial" w:cs="Times New Roman"/>
          <w:sz w:val="20"/>
          <w:szCs w:val="20"/>
          <w:lang w:val="en-AU"/>
        </w:rPr>
        <w:t>ban applies to:</w:t>
      </w:r>
    </w:p>
    <w:p w14:paraId="734EA1ED" w14:textId="77777777" w:rsidR="00F07F84" w:rsidRPr="00F07F84" w:rsidRDefault="00F07F84" w:rsidP="00F07F84">
      <w:pPr>
        <w:numPr>
          <w:ilvl w:val="0"/>
          <w:numId w:val="21"/>
        </w:numPr>
        <w:spacing w:after="160" w:line="259" w:lineRule="auto"/>
        <w:rPr>
          <w:rFonts w:ascii="Arial" w:eastAsia="Times" w:hAnsi="Arial" w:cs="Times New Roman"/>
          <w:sz w:val="20"/>
          <w:szCs w:val="20"/>
          <w:lang w:val="en-AU"/>
        </w:rPr>
      </w:pPr>
      <w:r w:rsidRPr="00F07F84">
        <w:rPr>
          <w:rFonts w:ascii="Arial" w:eastAsia="Times" w:hAnsi="Arial" w:cs="Times New Roman"/>
          <w:sz w:val="20"/>
          <w:szCs w:val="20"/>
          <w:lang w:val="en-AU"/>
        </w:rPr>
        <w:t xml:space="preserve">anyone </w:t>
      </w:r>
      <w:proofErr w:type="gramStart"/>
      <w:r w:rsidRPr="00F07F84">
        <w:rPr>
          <w:rFonts w:ascii="Arial" w:eastAsia="Times" w:hAnsi="Arial" w:cs="Times New Roman"/>
          <w:sz w:val="20"/>
          <w:szCs w:val="20"/>
          <w:lang w:val="en-AU"/>
        </w:rPr>
        <w:t>present</w:t>
      </w:r>
      <w:proofErr w:type="gramEnd"/>
      <w:r w:rsidRPr="00F07F84">
        <w:rPr>
          <w:rFonts w:ascii="Arial" w:eastAsia="Times" w:hAnsi="Arial" w:cs="Times New Roman"/>
          <w:sz w:val="20"/>
          <w:szCs w:val="20"/>
          <w:lang w:val="en-AU"/>
        </w:rPr>
        <w:t xml:space="preserve"> on school premises during and outside of school hours including students, teachers, contractors, parents or carers or the wider community, such as sporting groups</w:t>
      </w:r>
    </w:p>
    <w:p w14:paraId="2AA6F4CA" w14:textId="77777777" w:rsidR="00F07F84" w:rsidRPr="00F07F84" w:rsidRDefault="00F07F84" w:rsidP="00F07F84">
      <w:pPr>
        <w:numPr>
          <w:ilvl w:val="0"/>
          <w:numId w:val="21"/>
        </w:numPr>
        <w:spacing w:after="160" w:line="259" w:lineRule="auto"/>
        <w:rPr>
          <w:rFonts w:ascii="Arial" w:eastAsia="Times" w:hAnsi="Arial" w:cs="Times New Roman"/>
          <w:sz w:val="20"/>
          <w:szCs w:val="20"/>
          <w:lang w:val="en-AU"/>
        </w:rPr>
      </w:pPr>
      <w:r w:rsidRPr="00F07F84">
        <w:rPr>
          <w:rFonts w:ascii="Arial" w:eastAsia="Times" w:hAnsi="Arial" w:cs="Times New Roman"/>
          <w:sz w:val="20"/>
          <w:szCs w:val="20"/>
          <w:lang w:val="en-AU"/>
        </w:rPr>
        <w:t xml:space="preserve">all activities that take place on school premises including pre-schools, kindergartens, outside school hours care, cultural, </w:t>
      </w:r>
      <w:proofErr w:type="gramStart"/>
      <w:r w:rsidRPr="00F07F84">
        <w:rPr>
          <w:rFonts w:ascii="Arial" w:eastAsia="Times" w:hAnsi="Arial" w:cs="Times New Roman"/>
          <w:sz w:val="20"/>
          <w:szCs w:val="20"/>
          <w:lang w:val="en-AU"/>
        </w:rPr>
        <w:t>sporting</w:t>
      </w:r>
      <w:proofErr w:type="gramEnd"/>
      <w:r w:rsidRPr="00F07F84">
        <w:rPr>
          <w:rFonts w:ascii="Arial" w:eastAsia="Times" w:hAnsi="Arial" w:cs="Times New Roman"/>
          <w:sz w:val="20"/>
          <w:szCs w:val="20"/>
          <w:lang w:val="en-AU"/>
        </w:rPr>
        <w:t xml:space="preserve"> or recreational activities and school fetes</w:t>
      </w:r>
    </w:p>
    <w:p w14:paraId="6209AE3D" w14:textId="77777777" w:rsidR="00A56C72" w:rsidRPr="00663708" w:rsidRDefault="00A56C72" w:rsidP="00A56C72">
      <w:pPr>
        <w:pStyle w:val="DHHSbody"/>
        <w:rPr>
          <w:rFonts w:cs="Arial"/>
        </w:rPr>
      </w:pPr>
      <w:r>
        <w:t xml:space="preserve">Smoking </w:t>
      </w:r>
      <w:r w:rsidR="00DE1EE8">
        <w:t>and vaping are</w:t>
      </w:r>
      <w:r>
        <w:t xml:space="preserve"> also banned within four metres of any part of a pedestrian access point (entrance) to the premises</w:t>
      </w:r>
      <w:r>
        <w:rPr>
          <w:rFonts w:cs="Arial"/>
        </w:rPr>
        <w:t>.</w:t>
      </w:r>
    </w:p>
    <w:p w14:paraId="286E5798" w14:textId="77777777" w:rsidR="00A56C72" w:rsidRDefault="00A56C72" w:rsidP="00A56C72">
      <w:pPr>
        <w:pStyle w:val="Healthbody"/>
      </w:pPr>
      <w:r>
        <w:t xml:space="preserve">The diagram </w:t>
      </w:r>
      <w:r w:rsidR="00C76D85">
        <w:t>adjacent</w:t>
      </w:r>
      <w:r>
        <w:t xml:space="preserve"> shows an example of where the smoking ban applies at a school.</w:t>
      </w:r>
    </w:p>
    <w:p w14:paraId="2C23183E" w14:textId="77777777" w:rsidR="00A56C72" w:rsidRDefault="00A56C72" w:rsidP="00A56C72">
      <w:pPr>
        <w:pStyle w:val="Heading2"/>
        <w:spacing w:before="0"/>
      </w:pPr>
    </w:p>
    <w:p w14:paraId="5965DAF0" w14:textId="77777777" w:rsidR="00A56C72" w:rsidRDefault="00A56C72" w:rsidP="00A56C72">
      <w:pPr>
        <w:pStyle w:val="Heading2"/>
      </w:pPr>
      <w:r>
        <w:t>When the ban appl</w:t>
      </w:r>
      <w:r w:rsidR="000259CE">
        <w:t>ies</w:t>
      </w:r>
      <w:r>
        <w:t xml:space="preserve"> </w:t>
      </w:r>
    </w:p>
    <w:p w14:paraId="338D0FEA" w14:textId="77777777" w:rsidR="00F07F84" w:rsidRDefault="00A56C72" w:rsidP="00A56C72">
      <w:pPr>
        <w:pStyle w:val="Healthbody"/>
      </w:pPr>
      <w:r>
        <w:t xml:space="preserve">The smoking </w:t>
      </w:r>
      <w:r w:rsidR="00DE1EE8">
        <w:t xml:space="preserve">and vaping </w:t>
      </w:r>
      <w:r>
        <w:t xml:space="preserve">ban </w:t>
      </w:r>
      <w:proofErr w:type="gramStart"/>
      <w:r>
        <w:t>applies at all times</w:t>
      </w:r>
      <w:proofErr w:type="gramEnd"/>
      <w:r>
        <w:t>, no matter whether the building or school grounds are being used for education purposes or other purposes. The ban therefore applies when other activities are taking place on the school grounds, such as fetes or sporting events, as well as during school hours.</w:t>
      </w:r>
    </w:p>
    <w:p w14:paraId="45A85EF9" w14:textId="77777777" w:rsidR="00D323CD" w:rsidRDefault="00D323CD" w:rsidP="00A56C72">
      <w:pPr>
        <w:pStyle w:val="Healthbody"/>
      </w:pPr>
    </w:p>
    <w:p w14:paraId="67503D90" w14:textId="77777777" w:rsidR="00A56C72" w:rsidRPr="0090421D" w:rsidRDefault="00A56C72" w:rsidP="00A56C72">
      <w:pPr>
        <w:pStyle w:val="Healthbody"/>
      </w:pPr>
      <w:r w:rsidRPr="00F44A3E">
        <w:rPr>
          <w:rStyle w:val="Heading2Char"/>
        </w:rPr>
        <w:t>Why the ban exist</w:t>
      </w:r>
      <w:r w:rsidR="000259CE">
        <w:rPr>
          <w:rStyle w:val="Heading2Char"/>
        </w:rPr>
        <w:t>s</w:t>
      </w:r>
      <w:r>
        <w:t xml:space="preserve"> </w:t>
      </w:r>
    </w:p>
    <w:p w14:paraId="0C56A59E" w14:textId="77777777" w:rsidR="00A56C72" w:rsidRPr="004E0550" w:rsidRDefault="00A56C72" w:rsidP="00A56C72">
      <w:pPr>
        <w:pStyle w:val="Heading3"/>
      </w:pPr>
      <w:r>
        <w:t>To protect children and young people from the dangers of second-hand smoke</w:t>
      </w:r>
      <w:r w:rsidR="00D323CD">
        <w:t xml:space="preserve"> and vapour</w:t>
      </w:r>
    </w:p>
    <w:p w14:paraId="731C4BE1" w14:textId="77777777" w:rsidR="00D323CD" w:rsidRDefault="00A56C72" w:rsidP="00D323CD">
      <w:pPr>
        <w:pStyle w:val="Healthbody"/>
      </w:pPr>
      <w:r>
        <w:t xml:space="preserve">This ban ensures that children and young people can enter and leave </w:t>
      </w:r>
      <w:r w:rsidRPr="005F3BF9">
        <w:t xml:space="preserve">these </w:t>
      </w:r>
      <w:r>
        <w:t>areas without being expose</w:t>
      </w:r>
      <w:r w:rsidR="00D323CD">
        <w:t xml:space="preserve">d to harmful second-hand smoke and vapour. Their health is particularly at risk because they have smaller airways and less developed immune systems compared to adults. </w:t>
      </w:r>
    </w:p>
    <w:p w14:paraId="1F97DA65" w14:textId="77777777" w:rsidR="00A56C72" w:rsidRPr="00D323CD" w:rsidRDefault="00A56C72" w:rsidP="00D323CD">
      <w:pPr>
        <w:pStyle w:val="Healthbody"/>
        <w:rPr>
          <w:rFonts w:asciiTheme="majorHAnsi" w:eastAsiaTheme="majorEastAsia" w:hAnsiTheme="majorHAnsi" w:cstheme="majorBidi"/>
          <w:b/>
          <w:color w:val="AF272F" w:themeColor="text1"/>
          <w:sz w:val="24"/>
          <w:lang w:val="en-GB"/>
        </w:rPr>
      </w:pPr>
      <w:r w:rsidRPr="00D323CD">
        <w:rPr>
          <w:rFonts w:asciiTheme="majorHAnsi" w:eastAsiaTheme="majorEastAsia" w:hAnsiTheme="majorHAnsi" w:cstheme="majorBidi"/>
          <w:b/>
          <w:color w:val="AF272F" w:themeColor="text1"/>
          <w:sz w:val="24"/>
          <w:lang w:val="en-GB"/>
        </w:rPr>
        <w:t xml:space="preserve">To reduce the role modelling of smoking </w:t>
      </w:r>
      <w:r w:rsidR="00D323CD" w:rsidRPr="00D323CD">
        <w:rPr>
          <w:rFonts w:asciiTheme="majorHAnsi" w:eastAsiaTheme="majorEastAsia" w:hAnsiTheme="majorHAnsi" w:cstheme="majorBidi"/>
          <w:b/>
          <w:color w:val="AF272F" w:themeColor="text1"/>
          <w:sz w:val="24"/>
          <w:lang w:val="en-GB"/>
        </w:rPr>
        <w:t xml:space="preserve">and vaping </w:t>
      </w:r>
      <w:r w:rsidRPr="00D323CD">
        <w:rPr>
          <w:rFonts w:asciiTheme="majorHAnsi" w:eastAsiaTheme="majorEastAsia" w:hAnsiTheme="majorHAnsi" w:cstheme="majorBidi"/>
          <w:b/>
          <w:color w:val="AF272F" w:themeColor="text1"/>
          <w:sz w:val="24"/>
          <w:lang w:val="en-GB"/>
        </w:rPr>
        <w:t>behaviours around children and young people</w:t>
      </w:r>
    </w:p>
    <w:p w14:paraId="1FA21EA6" w14:textId="77777777" w:rsidR="00D323CD" w:rsidRDefault="00D323CD" w:rsidP="00D323CD">
      <w:pPr>
        <w:pStyle w:val="Healthbody"/>
      </w:pPr>
      <w:r>
        <w:t xml:space="preserve">Children and young people are more likely to view smoking and vaping as socially acceptable when they regularly see people doing it. </w:t>
      </w:r>
    </w:p>
    <w:p w14:paraId="297E847F" w14:textId="77777777" w:rsidR="00D323CD" w:rsidRDefault="00D323CD" w:rsidP="00D323CD">
      <w:pPr>
        <w:pStyle w:val="Healthbody"/>
      </w:pPr>
      <w:r>
        <w:t>Banning smoking and vaping in areas used by children and young people will discourage children and young people from using tobacco or e-cigarette products.</w:t>
      </w:r>
    </w:p>
    <w:p w14:paraId="75ADCCD5" w14:textId="77777777" w:rsidR="00A56C72" w:rsidRDefault="000259CE" w:rsidP="00D323CD">
      <w:pPr>
        <w:pStyle w:val="Heading2"/>
      </w:pPr>
      <w:r>
        <w:lastRenderedPageBreak/>
        <w:t xml:space="preserve">Defining a </w:t>
      </w:r>
      <w:r w:rsidR="00A56C72">
        <w:t>pedestrian access point</w:t>
      </w:r>
    </w:p>
    <w:p w14:paraId="2797F946" w14:textId="77777777" w:rsidR="00A56C72" w:rsidRDefault="00A56C72" w:rsidP="009806A1">
      <w:pPr>
        <w:pStyle w:val="Heading2"/>
      </w:pPr>
      <w:r w:rsidRPr="00A56C72">
        <w:rPr>
          <w:rFonts w:ascii="Arial" w:eastAsia="MS Mincho" w:hAnsi="Arial" w:cs="Times New Roman"/>
          <w:b w:val="0"/>
          <w:caps w:val="0"/>
          <w:color w:val="auto"/>
          <w:sz w:val="20"/>
          <w:szCs w:val="24"/>
          <w:lang w:val="en-AU"/>
        </w:rPr>
        <w:t xml:space="preserve">A pedestrian access point in relation to premises means a door or gate by which a person </w:t>
      </w:r>
      <w:r w:rsidR="00C76D85">
        <w:rPr>
          <w:rFonts w:ascii="Arial" w:eastAsia="MS Mincho" w:hAnsi="Arial" w:cs="Times New Roman"/>
          <w:b w:val="0"/>
          <w:caps w:val="0"/>
          <w:color w:val="auto"/>
          <w:sz w:val="20"/>
          <w:szCs w:val="24"/>
          <w:lang w:val="en-AU"/>
        </w:rPr>
        <w:t xml:space="preserve">can enter or exit the </w:t>
      </w:r>
      <w:r w:rsidR="00C76D85" w:rsidRPr="009806A1">
        <w:rPr>
          <w:rFonts w:ascii="Arial" w:eastAsia="Times" w:hAnsi="Arial" w:cs="Times New Roman"/>
          <w:b w:val="0"/>
          <w:caps w:val="0"/>
          <w:color w:val="auto"/>
          <w:sz w:val="20"/>
          <w:szCs w:val="20"/>
          <w:lang w:val="en-AU"/>
        </w:rPr>
        <w:t>premises</w:t>
      </w:r>
      <w:r w:rsidR="009806A1">
        <w:rPr>
          <w:rFonts w:ascii="Arial" w:eastAsia="Times" w:hAnsi="Arial" w:cs="Times New Roman"/>
          <w:b w:val="0"/>
          <w:caps w:val="0"/>
          <w:color w:val="auto"/>
          <w:sz w:val="20"/>
          <w:szCs w:val="20"/>
          <w:lang w:val="en-AU"/>
        </w:rPr>
        <w:t>.</w:t>
      </w:r>
      <w:r w:rsidR="009806A1" w:rsidRPr="009806A1">
        <w:rPr>
          <w:rFonts w:ascii="Arial" w:eastAsia="Times" w:hAnsi="Arial" w:cs="Times New Roman"/>
          <w:b w:val="0"/>
          <w:caps w:val="0"/>
          <w:color w:val="auto"/>
          <w:sz w:val="20"/>
          <w:szCs w:val="20"/>
          <w:lang w:val="en-AU"/>
        </w:rPr>
        <w:t xml:space="preserve"> </w:t>
      </w:r>
      <w:r w:rsidRPr="009806A1">
        <w:rPr>
          <w:rFonts w:ascii="Arial" w:eastAsia="Times" w:hAnsi="Arial" w:cs="Times New Roman"/>
          <w:b w:val="0"/>
          <w:caps w:val="0"/>
          <w:color w:val="auto"/>
          <w:sz w:val="20"/>
          <w:szCs w:val="20"/>
          <w:lang w:val="en-AU"/>
        </w:rPr>
        <w:t xml:space="preserve">It </w:t>
      </w:r>
      <w:r w:rsidRPr="009806A1">
        <w:rPr>
          <w:rFonts w:ascii="Arial" w:eastAsia="Times" w:hAnsi="Arial" w:cs="Times New Roman"/>
          <w:b w:val="0"/>
          <w:i/>
          <w:caps w:val="0"/>
          <w:color w:val="auto"/>
          <w:sz w:val="20"/>
          <w:szCs w:val="20"/>
          <w:lang w:val="en-AU"/>
        </w:rPr>
        <w:t xml:space="preserve">does not </w:t>
      </w:r>
      <w:r w:rsidRPr="009806A1">
        <w:rPr>
          <w:rFonts w:ascii="Arial" w:eastAsia="Times" w:hAnsi="Arial" w:cs="Times New Roman"/>
          <w:b w:val="0"/>
          <w:caps w:val="0"/>
          <w:color w:val="auto"/>
          <w:sz w:val="20"/>
          <w:szCs w:val="20"/>
          <w:lang w:val="en-AU"/>
        </w:rPr>
        <w:t>include an emergency exit that is locked to entry.</w:t>
      </w:r>
    </w:p>
    <w:p w14:paraId="0C42A981" w14:textId="77777777" w:rsidR="00A56C72" w:rsidRDefault="00A56C72" w:rsidP="00A56C72">
      <w:pPr>
        <w:pStyle w:val="DHHSbody"/>
        <w:tabs>
          <w:tab w:val="left" w:pos="4820"/>
        </w:tabs>
        <w:ind w:right="283"/>
      </w:pPr>
      <w:r>
        <w:t xml:space="preserve">It </w:t>
      </w:r>
      <w:r>
        <w:rPr>
          <w:i/>
        </w:rPr>
        <w:t>does</w:t>
      </w:r>
      <w:r>
        <w:t xml:space="preserve"> include shared doors or gates. For example, where a building is occupied by a childcare centre as well as other organisations, such as private businesses, any shared entrances that are used to access both areas of the building </w:t>
      </w:r>
      <w:r w:rsidRPr="00693942">
        <w:t>would</w:t>
      </w:r>
      <w:r>
        <w:t xml:space="preserve"> be subject to the smoking ban.</w:t>
      </w:r>
    </w:p>
    <w:p w14:paraId="746D80BE" w14:textId="77777777" w:rsidR="00C76D85" w:rsidRDefault="00A56C72" w:rsidP="00C76D85">
      <w:pPr>
        <w:pStyle w:val="DHHSbody"/>
        <w:ind w:right="283"/>
      </w:pPr>
      <w:r>
        <w:t xml:space="preserve">Any entrances which lead only to premises not included in the smoking ban, such as the private offices, </w:t>
      </w:r>
      <w:r w:rsidRPr="00693942">
        <w:t>would not</w:t>
      </w:r>
      <w:r>
        <w:rPr>
          <w:i/>
        </w:rPr>
        <w:t xml:space="preserve"> </w:t>
      </w:r>
      <w:r>
        <w:t>be subject to the smoking ban.</w:t>
      </w:r>
    </w:p>
    <w:p w14:paraId="27F0F2C9" w14:textId="77777777" w:rsidR="00A56C72" w:rsidRDefault="00A56C72" w:rsidP="00A56C72">
      <w:pPr>
        <w:pStyle w:val="Heading2"/>
        <w:ind w:right="283"/>
      </w:pPr>
      <w:r>
        <w:t>What penalties apply</w:t>
      </w:r>
    </w:p>
    <w:p w14:paraId="619EC2F0" w14:textId="77777777" w:rsidR="00E1000C" w:rsidRDefault="00054FE3" w:rsidP="00E1000C">
      <w:pPr>
        <w:pStyle w:val="Healthbody"/>
        <w:ind w:right="283"/>
        <w:rPr>
          <w:rFonts w:cs="Arial"/>
          <w:szCs w:val="20"/>
        </w:rPr>
      </w:pPr>
      <w:r>
        <w:rPr>
          <w:szCs w:val="20"/>
        </w:rPr>
        <w:t>F</w:t>
      </w:r>
      <w:r w:rsidR="00BF22F8">
        <w:rPr>
          <w:szCs w:val="20"/>
        </w:rPr>
        <w:t>ine</w:t>
      </w:r>
      <w:r>
        <w:rPr>
          <w:szCs w:val="20"/>
        </w:rPr>
        <w:t>s</w:t>
      </w:r>
      <w:r w:rsidR="00BF22F8">
        <w:rPr>
          <w:szCs w:val="20"/>
        </w:rPr>
        <w:t xml:space="preserve"> </w:t>
      </w:r>
      <w:r>
        <w:rPr>
          <w:szCs w:val="20"/>
        </w:rPr>
        <w:t>are</w:t>
      </w:r>
      <w:r w:rsidR="00B126B1">
        <w:rPr>
          <w:szCs w:val="20"/>
        </w:rPr>
        <w:t xml:space="preserve"> described </w:t>
      </w:r>
      <w:r>
        <w:rPr>
          <w:szCs w:val="20"/>
        </w:rPr>
        <w:t xml:space="preserve">under law </w:t>
      </w:r>
      <w:r w:rsidR="00B126B1">
        <w:rPr>
          <w:szCs w:val="20"/>
        </w:rPr>
        <w:t xml:space="preserve">in penalty units. </w:t>
      </w:r>
      <w:r w:rsidR="00E1000C">
        <w:rPr>
          <w:rFonts w:eastAsia="BatangChe" w:cs="Arial"/>
          <w:szCs w:val="20"/>
        </w:rPr>
        <w:t xml:space="preserve">From 1 July 2020 to 30 June 2021, a penalty unit is valued at $165.22.      </w:t>
      </w:r>
    </w:p>
    <w:p w14:paraId="22A95AB0" w14:textId="77777777" w:rsidR="00BF22F8" w:rsidRPr="008553BB" w:rsidRDefault="00E1000C" w:rsidP="00D323CD">
      <w:pPr>
        <w:pStyle w:val="Healthbody"/>
        <w:ind w:right="283"/>
        <w:rPr>
          <w:szCs w:val="20"/>
        </w:rPr>
      </w:pPr>
      <w:r w:rsidRPr="00567590">
        <w:rPr>
          <w:szCs w:val="20"/>
        </w:rPr>
        <w:t xml:space="preserve">The penalty for breaking </w:t>
      </w:r>
      <w:r w:rsidR="00054FE3" w:rsidRPr="00567590">
        <w:rPr>
          <w:szCs w:val="20"/>
        </w:rPr>
        <w:t>school smoking and vaping ban</w:t>
      </w:r>
      <w:r w:rsidRPr="00567590">
        <w:rPr>
          <w:szCs w:val="20"/>
        </w:rPr>
        <w:t xml:space="preserve"> laws is a court fine of a maximum of five penalty units ($826 as of 1 July 2020) or an infringement fine of one penalty unit</w:t>
      </w:r>
      <w:r w:rsidR="00AF27D3" w:rsidRPr="00567590">
        <w:rPr>
          <w:szCs w:val="20"/>
        </w:rPr>
        <w:t xml:space="preserve"> ($165 as of 1 July 2020)</w:t>
      </w:r>
      <w:r w:rsidRPr="00567590">
        <w:rPr>
          <w:szCs w:val="20"/>
        </w:rPr>
        <w:t>.</w:t>
      </w:r>
    </w:p>
    <w:p w14:paraId="5608E22F" w14:textId="77777777" w:rsidR="00D323CD" w:rsidRDefault="00D323CD" w:rsidP="00D323CD">
      <w:pPr>
        <w:pStyle w:val="Healthbody"/>
        <w:ind w:right="283"/>
      </w:pPr>
      <w:r>
        <w:rPr>
          <w:rFonts w:cs="Arial"/>
          <w:szCs w:val="20"/>
        </w:rPr>
        <w:t xml:space="preserve">The value of a penalty unit is set annually by the Department of Treasury and Finance and is updated on 1 July each year. </w:t>
      </w:r>
      <w:r>
        <w:t xml:space="preserve">For current penalty unit values, visit the Department’s </w:t>
      </w:r>
      <w:hyperlink r:id="rId15" w:history="1">
        <w:r>
          <w:rPr>
            <w:rStyle w:val="Hyperlink"/>
          </w:rPr>
          <w:t>website</w:t>
        </w:r>
      </w:hyperlink>
      <w:r>
        <w:t xml:space="preserve"> &lt;www.dtf.vic.gov.au/financial-management-government/indexation-fees-and-penalties&gt;.</w:t>
      </w:r>
    </w:p>
    <w:p w14:paraId="2DDA1385" w14:textId="77777777" w:rsidR="00A56C72" w:rsidRDefault="000259CE" w:rsidP="00A56C72">
      <w:pPr>
        <w:pStyle w:val="Heading2"/>
        <w:ind w:right="283"/>
      </w:pPr>
      <w:r>
        <w:t>For more information</w:t>
      </w:r>
    </w:p>
    <w:p w14:paraId="222BA51E" w14:textId="77777777" w:rsidR="00D323CD" w:rsidRDefault="00A56C72" w:rsidP="00D949AF">
      <w:pPr>
        <w:pStyle w:val="DHHSbullet1"/>
        <w:numPr>
          <w:ilvl w:val="0"/>
          <w:numId w:val="0"/>
        </w:numPr>
        <w:ind w:right="283"/>
        <w:rPr>
          <w:rFonts w:cs="Arial"/>
        </w:rPr>
      </w:pPr>
      <w:r w:rsidRPr="00E92C47">
        <w:rPr>
          <w:rFonts w:cs="Arial"/>
        </w:rPr>
        <w:t>For more information</w:t>
      </w:r>
      <w:r w:rsidR="00D323CD">
        <w:rPr>
          <w:rFonts w:cs="Arial"/>
        </w:rPr>
        <w:t>:</w:t>
      </w:r>
    </w:p>
    <w:p w14:paraId="7F6A3487" w14:textId="77777777" w:rsidR="00A56C72" w:rsidRPr="00F807A0" w:rsidRDefault="00A56C72" w:rsidP="00D323CD">
      <w:pPr>
        <w:pStyle w:val="DHHSbullet1"/>
        <w:numPr>
          <w:ilvl w:val="0"/>
          <w:numId w:val="20"/>
        </w:numPr>
        <w:ind w:right="283"/>
        <w:rPr>
          <w:rFonts w:cs="Arial"/>
        </w:rPr>
      </w:pPr>
      <w:r>
        <w:t>v</w:t>
      </w:r>
      <w:r w:rsidRPr="00F807A0">
        <w:t>isit</w:t>
      </w:r>
      <w:r>
        <w:t xml:space="preserve"> the </w:t>
      </w:r>
      <w:hyperlink r:id="rId16" w:history="1">
        <w:r w:rsidRPr="006519C6">
          <w:rPr>
            <w:rStyle w:val="Hyperlink"/>
          </w:rPr>
          <w:t>tobacco reforms website</w:t>
        </w:r>
      </w:hyperlink>
      <w:r w:rsidRPr="00F807A0">
        <w:t xml:space="preserve"> </w:t>
      </w:r>
      <w:r>
        <w:rPr>
          <w:rFonts w:eastAsia="MS Gothic" w:cs="Arial"/>
        </w:rPr>
        <w:t>&lt;</w:t>
      </w:r>
      <w:r w:rsidRPr="00043F0E">
        <w:rPr>
          <w:rFonts w:eastAsia="MS Gothic" w:cs="Arial"/>
        </w:rPr>
        <w:t>www.health.vic.gov.au/tobaccoreforms</w:t>
      </w:r>
      <w:r>
        <w:rPr>
          <w:rFonts w:eastAsia="MS Gothic" w:cs="Arial"/>
        </w:rPr>
        <w:t>&gt;</w:t>
      </w:r>
    </w:p>
    <w:p w14:paraId="286E2DEF" w14:textId="77777777" w:rsidR="00A56C72" w:rsidRPr="00D323CD" w:rsidRDefault="00A56C72" w:rsidP="00D323CD">
      <w:pPr>
        <w:pStyle w:val="Healthbullet1lastline"/>
        <w:numPr>
          <w:ilvl w:val="0"/>
          <w:numId w:val="20"/>
        </w:numPr>
        <w:ind w:right="283"/>
        <w:rPr>
          <w:rFonts w:ascii="Arial" w:hAnsi="Arial" w:cs="Arial"/>
          <w:sz w:val="20"/>
          <w:szCs w:val="20"/>
        </w:rPr>
      </w:pPr>
      <w:r w:rsidRPr="00D323CD">
        <w:rPr>
          <w:rFonts w:ascii="Arial" w:hAnsi="Arial" w:cs="Arial"/>
          <w:sz w:val="20"/>
          <w:szCs w:val="20"/>
        </w:rPr>
        <w:t>call the Tobacco Information Line on 1300 136 775</w:t>
      </w:r>
    </w:p>
    <w:p w14:paraId="25E4EC4A" w14:textId="77777777" w:rsidR="00D323CD" w:rsidRDefault="00A56C72" w:rsidP="00D323CD">
      <w:pPr>
        <w:pStyle w:val="Healthbody"/>
        <w:ind w:right="283"/>
        <w:rPr>
          <w:rFonts w:cs="Arial"/>
          <w:szCs w:val="20"/>
        </w:rPr>
      </w:pPr>
      <w:r w:rsidRPr="00E92C47">
        <w:rPr>
          <w:rFonts w:cs="Arial"/>
          <w:szCs w:val="20"/>
        </w:rPr>
        <w:t xml:space="preserve">To view the </w:t>
      </w:r>
      <w:proofErr w:type="gramStart"/>
      <w:r w:rsidRPr="00E92C47">
        <w:rPr>
          <w:rFonts w:cs="Arial"/>
          <w:szCs w:val="20"/>
        </w:rPr>
        <w:t>legislation</w:t>
      </w:r>
      <w:proofErr w:type="gramEnd"/>
      <w:r w:rsidRPr="00E92C47">
        <w:rPr>
          <w:rFonts w:cs="Arial"/>
          <w:szCs w:val="20"/>
        </w:rPr>
        <w:t xml:space="preserve"> visit </w:t>
      </w:r>
      <w:r>
        <w:t xml:space="preserve">the Victorian Government’s </w:t>
      </w:r>
      <w:hyperlink r:id="rId17" w:history="1">
        <w:r w:rsidRPr="00D323CD">
          <w:rPr>
            <w:rStyle w:val="Hyperlink"/>
          </w:rPr>
          <w:t>legislation website</w:t>
        </w:r>
      </w:hyperlink>
      <w:r>
        <w:t xml:space="preserve"> </w:t>
      </w:r>
      <w:r>
        <w:rPr>
          <w:rFonts w:eastAsia="MS Gothic" w:cs="Arial"/>
        </w:rPr>
        <w:t>&lt;</w:t>
      </w:r>
      <w:r w:rsidRPr="00043F0E">
        <w:rPr>
          <w:rFonts w:eastAsia="MS Gothic" w:cs="Arial"/>
        </w:rPr>
        <w:t>www.legislation.vic.gov.au</w:t>
      </w:r>
      <w:r>
        <w:rPr>
          <w:rFonts w:eastAsia="MS Gothic" w:cs="Arial"/>
        </w:rPr>
        <w:t>&gt;</w:t>
      </w:r>
      <w:r w:rsidRPr="00062ACF">
        <w:t xml:space="preserve"> and </w:t>
      </w:r>
      <w:r w:rsidR="00D323CD">
        <w:t xml:space="preserve">search </w:t>
      </w:r>
      <w:r w:rsidR="00D323CD">
        <w:rPr>
          <w:i/>
        </w:rPr>
        <w:t>Tobacco Act 1987.</w:t>
      </w:r>
    </w:p>
    <w:p w14:paraId="5A498AC7" w14:textId="77777777" w:rsidR="00C76D85" w:rsidRPr="00D323CD" w:rsidRDefault="00C76D85" w:rsidP="00D323CD">
      <w:pPr>
        <w:pStyle w:val="Healthbody"/>
        <w:ind w:right="283"/>
        <w:rPr>
          <w:rFonts w:cs="Arial"/>
          <w:szCs w:val="20"/>
        </w:rPr>
        <w:sectPr w:rsidR="00C76D85" w:rsidRPr="00D323CD" w:rsidSect="00C76D85">
          <w:type w:val="continuous"/>
          <w:pgSz w:w="11900" w:h="16840"/>
          <w:pgMar w:top="2155" w:right="843" w:bottom="1418" w:left="1134" w:header="709" w:footer="709" w:gutter="0"/>
          <w:cols w:space="708"/>
          <w:docGrid w:linePitch="360"/>
        </w:sectPr>
      </w:pPr>
    </w:p>
    <w:p w14:paraId="525DE176" w14:textId="77777777" w:rsidR="00A56C72" w:rsidRDefault="00A56C72" w:rsidP="00A56C72">
      <w:pPr>
        <w:rPr>
          <w:lang w:val="en-AU"/>
        </w:rPr>
      </w:pPr>
      <w:r w:rsidRPr="00A56C72">
        <w:rPr>
          <w:noProof/>
          <w:sz w:val="12"/>
          <w:szCs w:val="12"/>
          <w:lang w:val="en-AU" w:eastAsia="en-AU"/>
        </w:rPr>
        <mc:AlternateContent>
          <mc:Choice Requires="wps">
            <w:drawing>
              <wp:anchor distT="45720" distB="45720" distL="114300" distR="114300" simplePos="0" relativeHeight="251659264" behindDoc="0" locked="0" layoutInCell="1" allowOverlap="1" wp14:anchorId="0BFBA6A8" wp14:editId="50353387">
                <wp:simplePos x="0" y="0"/>
                <wp:positionH relativeFrom="margin">
                  <wp:posOffset>-85725</wp:posOffset>
                </wp:positionH>
                <wp:positionV relativeFrom="paragraph">
                  <wp:posOffset>40005</wp:posOffset>
                </wp:positionV>
                <wp:extent cx="6629400" cy="2952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95275"/>
                        </a:xfrm>
                        <a:prstGeom prst="rect">
                          <a:avLst/>
                        </a:prstGeom>
                        <a:solidFill>
                          <a:srgbClr val="FFFFFF"/>
                        </a:solidFill>
                        <a:ln w="9525">
                          <a:noFill/>
                          <a:miter lim="800000"/>
                          <a:headEnd/>
                          <a:tailEnd/>
                        </a:ln>
                      </wps:spPr>
                      <wps:txbx>
                        <w:txbxContent>
                          <w:p w14:paraId="474F2CDB" w14:textId="77777777" w:rsidR="00A56C72" w:rsidRPr="00E34721" w:rsidRDefault="00A56C72" w:rsidP="00A56C72">
                            <w:pPr>
                              <w:spacing w:after="0"/>
                              <w:rPr>
                                <w:rFonts w:cstheme="minorHAnsi"/>
                                <w:sz w:val="12"/>
                                <w:szCs w:val="12"/>
                              </w:rPr>
                            </w:pPr>
                            <w:r w:rsidRPr="001105FA">
                              <w:rPr>
                                <w:sz w:val="12"/>
                                <w:szCs w:val="12"/>
                              </w:rPr>
                              <w:t xml:space="preserve">© State of Victoria (Department of Education </w:t>
                            </w:r>
                            <w:r w:rsidRPr="00A56C72">
                              <w:rPr>
                                <w:sz w:val="12"/>
                                <w:szCs w:val="12"/>
                              </w:rPr>
                              <w:t xml:space="preserve">and Training) 2020. </w:t>
                            </w:r>
                            <w:r w:rsidRPr="00A56C72">
                              <w:rPr>
                                <w:rFonts w:cstheme="minorHAnsi"/>
                                <w:color w:val="000000"/>
                                <w:sz w:val="12"/>
                                <w:szCs w:val="12"/>
                              </w:rPr>
                              <w:t>Except where</w:t>
                            </w:r>
                            <w:r w:rsidRPr="00E34721">
                              <w:rPr>
                                <w:rFonts w:cstheme="minorHAnsi"/>
                                <w:color w:val="000000"/>
                                <w:sz w:val="12"/>
                                <w:szCs w:val="12"/>
                              </w:rPr>
                              <w:t xml:space="preserve"> otherwise </w:t>
                            </w:r>
                            <w:hyperlink r:id="rId18" w:history="1">
                              <w:r w:rsidRPr="00E34721">
                                <w:rPr>
                                  <w:rStyle w:val="Hyperlink"/>
                                  <w:rFonts w:cstheme="minorHAnsi"/>
                                  <w:sz w:val="12"/>
                                  <w:szCs w:val="12"/>
                                </w:rPr>
                                <w:t>noted,</w:t>
                              </w:r>
                            </w:hyperlink>
                            <w:r w:rsidRPr="00E34721">
                              <w:rPr>
                                <w:rFonts w:cstheme="minorHAnsi"/>
                                <w:color w:val="000000"/>
                                <w:sz w:val="12"/>
                                <w:szCs w:val="12"/>
                              </w:rPr>
                              <w:t xml:space="preserve"> material in this document is provided under a</w:t>
                            </w:r>
                            <w:r>
                              <w:rPr>
                                <w:rFonts w:cstheme="minorHAnsi"/>
                                <w:color w:val="000000"/>
                                <w:sz w:val="12"/>
                                <w:szCs w:val="12"/>
                              </w:rPr>
                              <w:br/>
                            </w:r>
                            <w:r w:rsidRPr="00E34721">
                              <w:rPr>
                                <w:rFonts w:cstheme="minorHAnsi"/>
                                <w:color w:val="000000"/>
                                <w:sz w:val="12"/>
                                <w:szCs w:val="12"/>
                              </w:rPr>
                              <w:t> </w:t>
                            </w:r>
                            <w:hyperlink r:id="rId19" w:history="1">
                              <w:r w:rsidRPr="00E34721">
                                <w:rPr>
                                  <w:rStyle w:val="Hyperlink"/>
                                  <w:rFonts w:cstheme="minorHAnsi"/>
                                  <w:sz w:val="12"/>
                                  <w:szCs w:val="12"/>
                                </w:rPr>
                                <w:t>Creative Commons Attribution 4.0 International</w:t>
                              </w:r>
                            </w:hyperlink>
                            <w:r w:rsidRPr="00E34721">
                              <w:rPr>
                                <w:rFonts w:cstheme="minorHAnsi"/>
                                <w:sz w:val="12"/>
                                <w:szCs w:val="12"/>
                              </w:rPr>
                              <w:t xml:space="preserve"> </w:t>
                            </w:r>
                            <w:r w:rsidRPr="00E34721">
                              <w:rPr>
                                <w:rFonts w:cstheme="minorHAnsi"/>
                                <w:color w:val="000000"/>
                                <w:sz w:val="12"/>
                                <w:szCs w:val="12"/>
                              </w:rPr>
                              <w:t>Please check the full </w:t>
                            </w:r>
                            <w:hyperlink r:id="rId20" w:history="1">
                              <w:r w:rsidRPr="00E34721">
                                <w:rPr>
                                  <w:rStyle w:val="Hyperlink"/>
                                  <w:rFonts w:cstheme="minorHAnsi"/>
                                  <w:sz w:val="12"/>
                                  <w:szCs w:val="12"/>
                                </w:rPr>
                                <w:t>copyright notice </w:t>
                              </w:r>
                            </w:hyperlink>
                          </w:p>
                          <w:p w14:paraId="4378AD18" w14:textId="77777777" w:rsidR="00A56C72" w:rsidRDefault="00A56C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BA6A8" id="_x0000_t202" coordsize="21600,21600" o:spt="202" path="m,l,21600r21600,l21600,xe">
                <v:stroke joinstyle="miter"/>
                <v:path gradientshapeok="t" o:connecttype="rect"/>
              </v:shapetype>
              <v:shape id="Text Box 2" o:spid="_x0000_s1026" type="#_x0000_t202" style="position:absolute;margin-left:-6.75pt;margin-top:3.15pt;width:522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G3IAIAAB0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" stroked="f">
                <v:textbox>
                  <w:txbxContent>
                    <w:p w14:paraId="474F2CDB" w14:textId="77777777" w:rsidR="00A56C72" w:rsidRPr="00E34721" w:rsidRDefault="00A56C72" w:rsidP="00A56C72">
                      <w:pPr>
                        <w:spacing w:after="0"/>
                        <w:rPr>
                          <w:rFonts w:cstheme="minorHAnsi"/>
                          <w:sz w:val="12"/>
                          <w:szCs w:val="12"/>
                        </w:rPr>
                      </w:pPr>
                      <w:r w:rsidRPr="001105FA">
                        <w:rPr>
                          <w:sz w:val="12"/>
                          <w:szCs w:val="12"/>
                        </w:rPr>
                        <w:t xml:space="preserve">© State of Victoria (Department of Education </w:t>
                      </w:r>
                      <w:r w:rsidRPr="00A56C72">
                        <w:rPr>
                          <w:sz w:val="12"/>
                          <w:szCs w:val="12"/>
                        </w:rPr>
                        <w:t xml:space="preserve">and Training) 2020. </w:t>
                      </w:r>
                      <w:r w:rsidRPr="00A56C72">
                        <w:rPr>
                          <w:rFonts w:cstheme="minorHAnsi"/>
                          <w:color w:val="000000"/>
                          <w:sz w:val="12"/>
                          <w:szCs w:val="12"/>
                        </w:rPr>
                        <w:t>Except where</w:t>
                      </w:r>
                      <w:r w:rsidRPr="00E34721">
                        <w:rPr>
                          <w:rFonts w:cstheme="minorHAnsi"/>
                          <w:color w:val="000000"/>
                          <w:sz w:val="12"/>
                          <w:szCs w:val="12"/>
                        </w:rPr>
                        <w:t xml:space="preserve"> otherwise </w:t>
                      </w:r>
                      <w:hyperlink r:id="rId21" w:history="1">
                        <w:r w:rsidRPr="00E34721">
                          <w:rPr>
                            <w:rStyle w:val="Hyperlink"/>
                            <w:rFonts w:cstheme="minorHAnsi"/>
                            <w:sz w:val="12"/>
                            <w:szCs w:val="12"/>
                          </w:rPr>
                          <w:t>noted,</w:t>
                        </w:r>
                      </w:hyperlink>
                      <w:r w:rsidRPr="00E34721">
                        <w:rPr>
                          <w:rFonts w:cstheme="minorHAnsi"/>
                          <w:color w:val="000000"/>
                          <w:sz w:val="12"/>
                          <w:szCs w:val="12"/>
                        </w:rPr>
                        <w:t xml:space="preserve"> material in this document is provided under a</w:t>
                      </w:r>
                      <w:r>
                        <w:rPr>
                          <w:rFonts w:cstheme="minorHAnsi"/>
                          <w:color w:val="000000"/>
                          <w:sz w:val="12"/>
                          <w:szCs w:val="12"/>
                        </w:rPr>
                        <w:br/>
                      </w:r>
                      <w:r w:rsidRPr="00E34721">
                        <w:rPr>
                          <w:rFonts w:cstheme="minorHAnsi"/>
                          <w:color w:val="000000"/>
                          <w:sz w:val="12"/>
                          <w:szCs w:val="12"/>
                        </w:rPr>
                        <w:t> </w:t>
                      </w:r>
                      <w:hyperlink r:id="rId22" w:history="1">
                        <w:r w:rsidRPr="00E34721">
                          <w:rPr>
                            <w:rStyle w:val="Hyperlink"/>
                            <w:rFonts w:cstheme="minorHAnsi"/>
                            <w:sz w:val="12"/>
                            <w:szCs w:val="12"/>
                          </w:rPr>
                          <w:t>Creative Commons Attribution 4.0 International</w:t>
                        </w:r>
                      </w:hyperlink>
                      <w:r w:rsidRPr="00E34721">
                        <w:rPr>
                          <w:rFonts w:cstheme="minorHAnsi"/>
                          <w:sz w:val="12"/>
                          <w:szCs w:val="12"/>
                        </w:rPr>
                        <w:t xml:space="preserve"> </w:t>
                      </w:r>
                      <w:r w:rsidRPr="00E34721">
                        <w:rPr>
                          <w:rFonts w:cstheme="minorHAnsi"/>
                          <w:color w:val="000000"/>
                          <w:sz w:val="12"/>
                          <w:szCs w:val="12"/>
                        </w:rPr>
                        <w:t>Please check the full </w:t>
                      </w:r>
                      <w:hyperlink r:id="rId23" w:history="1">
                        <w:r w:rsidRPr="00E34721">
                          <w:rPr>
                            <w:rStyle w:val="Hyperlink"/>
                            <w:rFonts w:cstheme="minorHAnsi"/>
                            <w:sz w:val="12"/>
                            <w:szCs w:val="12"/>
                          </w:rPr>
                          <w:t>copyright notice </w:t>
                        </w:r>
                      </w:hyperlink>
                    </w:p>
                    <w:p w14:paraId="4378AD18" w14:textId="77777777" w:rsidR="00A56C72" w:rsidRDefault="00A56C72"/>
                  </w:txbxContent>
                </v:textbox>
                <w10:wrap anchorx="margin"/>
              </v:shape>
            </w:pict>
          </mc:Fallback>
        </mc:AlternateContent>
      </w:r>
    </w:p>
    <w:sectPr w:rsidR="00A56C72" w:rsidSect="00C76D85">
      <w:type w:val="continuous"/>
      <w:pgSz w:w="11900" w:h="16840"/>
      <w:pgMar w:top="2155" w:right="126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E328" w14:textId="77777777" w:rsidR="002E2339" w:rsidRDefault="002E2339" w:rsidP="003967DD">
      <w:pPr>
        <w:spacing w:after="0"/>
      </w:pPr>
      <w:r>
        <w:separator/>
      </w:r>
    </w:p>
  </w:endnote>
  <w:endnote w:type="continuationSeparator" w:id="0">
    <w:p w14:paraId="256FF1C2" w14:textId="77777777" w:rsidR="002E2339" w:rsidRDefault="002E2339"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1D0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3FE17F9"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E8AE"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C48FE">
      <w:rPr>
        <w:rStyle w:val="PageNumber"/>
        <w:noProof/>
      </w:rPr>
      <w:t>2</w:t>
    </w:r>
    <w:r>
      <w:rPr>
        <w:rStyle w:val="PageNumber"/>
      </w:rPr>
      <w:fldChar w:fldCharType="end"/>
    </w:r>
  </w:p>
  <w:p w14:paraId="09EA4AA2"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A800" w14:textId="77777777" w:rsidR="002E2339" w:rsidRDefault="002E2339" w:rsidP="003967DD">
      <w:pPr>
        <w:spacing w:after="0"/>
      </w:pPr>
      <w:r>
        <w:separator/>
      </w:r>
    </w:p>
  </w:footnote>
  <w:footnote w:type="continuationSeparator" w:id="0">
    <w:p w14:paraId="06528BE2" w14:textId="77777777" w:rsidR="002E2339" w:rsidRDefault="002E2339"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0E36" w14:textId="77777777" w:rsidR="003967DD" w:rsidRDefault="00B86D41">
    <w:pPr>
      <w:pStyle w:val="Header"/>
    </w:pPr>
    <w:r>
      <w:rPr>
        <w:noProof/>
        <w:lang w:val="en-AU" w:eastAsia="en-AU"/>
      </w:rPr>
      <w:drawing>
        <wp:anchor distT="0" distB="0" distL="114300" distR="114300" simplePos="0" relativeHeight="251658240" behindDoc="1" locked="0" layoutInCell="1" allowOverlap="1" wp14:anchorId="0CC3A754" wp14:editId="48F70387">
          <wp:simplePos x="0" y="0"/>
          <wp:positionH relativeFrom="page">
            <wp:align>left</wp:align>
          </wp:positionH>
          <wp:positionV relativeFrom="page">
            <wp:align>top</wp:align>
          </wp:positionV>
          <wp:extent cx="7560000" cy="10684800"/>
          <wp:effectExtent l="0" t="0" r="0" b="0"/>
          <wp:wrapNone/>
          <wp:docPr id="7" name="Picture 7"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626DE1"/>
    <w:multiLevelType w:val="multilevel"/>
    <w:tmpl w:val="3AA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3490A"/>
    <w:multiLevelType w:val="hybridMultilevel"/>
    <w:tmpl w:val="9F8E90B8"/>
    <w:lvl w:ilvl="0" w:tplc="0C090001">
      <w:start w:val="1"/>
      <w:numFmt w:val="bullet"/>
      <w:lvlText w:val=""/>
      <w:lvlJc w:val="left"/>
      <w:pPr>
        <w:ind w:left="284" w:hanging="284"/>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D3AFC"/>
    <w:multiLevelType w:val="hybridMultilevel"/>
    <w:tmpl w:val="5148D0BC"/>
    <w:lvl w:ilvl="0" w:tplc="5ADABCB2">
      <w:start w:val="1"/>
      <w:numFmt w:val="bullet"/>
      <w:pStyle w:val="Healthbullet1"/>
      <w:lvlText w:val="•"/>
      <w:lvlJc w:val="left"/>
      <w:pPr>
        <w:ind w:left="284" w:hanging="284"/>
      </w:pPr>
      <w:rPr>
        <w:rFonts w:ascii="Symbol" w:hAnsi="Symbol"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8"/>
  </w:num>
  <w:num w:numId="14">
    <w:abstractNumId w:val="19"/>
  </w:num>
  <w:num w:numId="15">
    <w:abstractNumId w:val="12"/>
  </w:num>
  <w:num w:numId="16">
    <w:abstractNumId w:val="16"/>
  </w:num>
  <w:num w:numId="17">
    <w:abstractNumId w:val="14"/>
  </w:num>
  <w:num w:numId="18">
    <w:abstractNumId w:val="17"/>
  </w:num>
  <w:num w:numId="19">
    <w:abstractNumId w:val="20"/>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C6C"/>
    <w:rsid w:val="00011F31"/>
    <w:rsid w:val="00013339"/>
    <w:rsid w:val="000256E2"/>
    <w:rsid w:val="000259CE"/>
    <w:rsid w:val="0005118E"/>
    <w:rsid w:val="00054FE3"/>
    <w:rsid w:val="00067545"/>
    <w:rsid w:val="00080DA9"/>
    <w:rsid w:val="000A47D4"/>
    <w:rsid w:val="000F1D0B"/>
    <w:rsid w:val="001169A5"/>
    <w:rsid w:val="00122369"/>
    <w:rsid w:val="00150E0F"/>
    <w:rsid w:val="00157212"/>
    <w:rsid w:val="0016287D"/>
    <w:rsid w:val="001C54D3"/>
    <w:rsid w:val="001D0D94"/>
    <w:rsid w:val="001D13F9"/>
    <w:rsid w:val="001F39DD"/>
    <w:rsid w:val="002512BE"/>
    <w:rsid w:val="00275FB8"/>
    <w:rsid w:val="002A4A96"/>
    <w:rsid w:val="002E1C53"/>
    <w:rsid w:val="002E2339"/>
    <w:rsid w:val="002E3BED"/>
    <w:rsid w:val="002F46C5"/>
    <w:rsid w:val="002F6115"/>
    <w:rsid w:val="00303D68"/>
    <w:rsid w:val="00312720"/>
    <w:rsid w:val="00343AFC"/>
    <w:rsid w:val="0034745C"/>
    <w:rsid w:val="0037037F"/>
    <w:rsid w:val="003967DD"/>
    <w:rsid w:val="003A4C39"/>
    <w:rsid w:val="003C6531"/>
    <w:rsid w:val="0042333B"/>
    <w:rsid w:val="004260B3"/>
    <w:rsid w:val="004B2ED6"/>
    <w:rsid w:val="004B7B6B"/>
    <w:rsid w:val="004C48FE"/>
    <w:rsid w:val="004D01FB"/>
    <w:rsid w:val="00545C02"/>
    <w:rsid w:val="00555277"/>
    <w:rsid w:val="00567590"/>
    <w:rsid w:val="00567CF0"/>
    <w:rsid w:val="00584366"/>
    <w:rsid w:val="005A4F12"/>
    <w:rsid w:val="00624A55"/>
    <w:rsid w:val="006271CE"/>
    <w:rsid w:val="006671CE"/>
    <w:rsid w:val="006677E4"/>
    <w:rsid w:val="00672722"/>
    <w:rsid w:val="006A25AC"/>
    <w:rsid w:val="006E2B9A"/>
    <w:rsid w:val="00710CED"/>
    <w:rsid w:val="00756C01"/>
    <w:rsid w:val="007B556E"/>
    <w:rsid w:val="007D3E38"/>
    <w:rsid w:val="008065DA"/>
    <w:rsid w:val="008553BB"/>
    <w:rsid w:val="00883826"/>
    <w:rsid w:val="008B1737"/>
    <w:rsid w:val="00925FC0"/>
    <w:rsid w:val="00952690"/>
    <w:rsid w:val="009806A1"/>
    <w:rsid w:val="00A31926"/>
    <w:rsid w:val="00A56C72"/>
    <w:rsid w:val="00A710DF"/>
    <w:rsid w:val="00A762A1"/>
    <w:rsid w:val="00A94B4D"/>
    <w:rsid w:val="00AF184E"/>
    <w:rsid w:val="00AF27D3"/>
    <w:rsid w:val="00B126B1"/>
    <w:rsid w:val="00B21562"/>
    <w:rsid w:val="00B30E52"/>
    <w:rsid w:val="00B42BD7"/>
    <w:rsid w:val="00B86D41"/>
    <w:rsid w:val="00BF22F8"/>
    <w:rsid w:val="00C539BB"/>
    <w:rsid w:val="00C76D85"/>
    <w:rsid w:val="00C80EC5"/>
    <w:rsid w:val="00CA0736"/>
    <w:rsid w:val="00CC5AA8"/>
    <w:rsid w:val="00CD5993"/>
    <w:rsid w:val="00D323CD"/>
    <w:rsid w:val="00D949AF"/>
    <w:rsid w:val="00DB6181"/>
    <w:rsid w:val="00DC4D0D"/>
    <w:rsid w:val="00DD73FA"/>
    <w:rsid w:val="00DE1EE8"/>
    <w:rsid w:val="00E1000C"/>
    <w:rsid w:val="00E34263"/>
    <w:rsid w:val="00E34721"/>
    <w:rsid w:val="00E4317E"/>
    <w:rsid w:val="00E5030B"/>
    <w:rsid w:val="00E64758"/>
    <w:rsid w:val="00E7383E"/>
    <w:rsid w:val="00E77EB9"/>
    <w:rsid w:val="00EF6C40"/>
    <w:rsid w:val="00F07F84"/>
    <w:rsid w:val="00F5271F"/>
    <w:rsid w:val="00F94715"/>
    <w:rsid w:val="00FC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EF3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1"/>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customStyle="1" w:styleId="DHHSbody">
    <w:name w:val="DHHS body"/>
    <w:qFormat/>
    <w:rsid w:val="00A56C72"/>
    <w:pPr>
      <w:spacing w:after="120" w:line="270" w:lineRule="atLeast"/>
    </w:pPr>
    <w:rPr>
      <w:rFonts w:ascii="Arial" w:eastAsia="Times" w:hAnsi="Arial" w:cs="Times New Roman"/>
      <w:sz w:val="20"/>
      <w:szCs w:val="20"/>
      <w:lang w:val="en-AU"/>
    </w:rPr>
  </w:style>
  <w:style w:type="paragraph" w:customStyle="1" w:styleId="DHHSbullet1">
    <w:name w:val="DHHS bullet 1"/>
    <w:basedOn w:val="DHHSbody"/>
    <w:uiPriority w:val="99"/>
    <w:qFormat/>
    <w:rsid w:val="00A56C72"/>
    <w:pPr>
      <w:numPr>
        <w:numId w:val="18"/>
      </w:numPr>
      <w:spacing w:after="40"/>
    </w:pPr>
  </w:style>
  <w:style w:type="character" w:styleId="FootnoteReference">
    <w:name w:val="footnote reference"/>
    <w:rsid w:val="00A56C72"/>
    <w:rPr>
      <w:vertAlign w:val="superscript"/>
    </w:rPr>
  </w:style>
  <w:style w:type="paragraph" w:customStyle="1" w:styleId="DHHSbullet2">
    <w:name w:val="DHHS bullet 2"/>
    <w:basedOn w:val="DHHSbody"/>
    <w:uiPriority w:val="99"/>
    <w:qFormat/>
    <w:rsid w:val="00A56C72"/>
    <w:pPr>
      <w:numPr>
        <w:ilvl w:val="2"/>
        <w:numId w:val="18"/>
      </w:numPr>
      <w:spacing w:after="40"/>
    </w:pPr>
  </w:style>
  <w:style w:type="paragraph" w:customStyle="1" w:styleId="Healthbullet1">
    <w:name w:val="Health bullet 1"/>
    <w:basedOn w:val="Healthbody"/>
    <w:qFormat/>
    <w:rsid w:val="00A56C72"/>
    <w:pPr>
      <w:numPr>
        <w:numId w:val="19"/>
      </w:numPr>
      <w:tabs>
        <w:tab w:val="num" w:pos="360"/>
        <w:tab w:val="num" w:pos="1492"/>
      </w:tabs>
      <w:spacing w:after="40"/>
      <w:ind w:left="0" w:firstLine="0"/>
    </w:pPr>
    <w:rPr>
      <w:rFonts w:ascii="Times New Roman" w:hAnsi="Times New Roman"/>
      <w:sz w:val="24"/>
    </w:rPr>
  </w:style>
  <w:style w:type="paragraph" w:customStyle="1" w:styleId="Healthbullet1lastline">
    <w:name w:val="Health bullet 1 last line"/>
    <w:basedOn w:val="Healthbullet1"/>
    <w:rsid w:val="00A56C72"/>
    <w:pPr>
      <w:spacing w:after="120"/>
    </w:pPr>
  </w:style>
  <w:style w:type="paragraph" w:customStyle="1" w:styleId="DHHStablebullet">
    <w:name w:val="DHHS table bullet"/>
    <w:basedOn w:val="Normal"/>
    <w:uiPriority w:val="99"/>
    <w:qFormat/>
    <w:rsid w:val="00A56C72"/>
    <w:pPr>
      <w:numPr>
        <w:ilvl w:val="6"/>
        <w:numId w:val="18"/>
      </w:numPr>
      <w:spacing w:before="80" w:after="60"/>
    </w:pPr>
    <w:rPr>
      <w:rFonts w:ascii="Arial" w:eastAsia="Times New Roman" w:hAnsi="Arial" w:cs="Times New Roman"/>
      <w:sz w:val="20"/>
      <w:szCs w:val="20"/>
      <w:lang w:val="en-AU"/>
    </w:rPr>
  </w:style>
  <w:style w:type="paragraph" w:customStyle="1" w:styleId="Healthbody">
    <w:name w:val="Health body"/>
    <w:link w:val="HealthbodyChar"/>
    <w:rsid w:val="00A56C72"/>
    <w:pPr>
      <w:spacing w:after="120" w:line="270" w:lineRule="atLeast"/>
    </w:pPr>
    <w:rPr>
      <w:rFonts w:ascii="Arial" w:eastAsia="MS Mincho" w:hAnsi="Arial" w:cs="Times New Roman"/>
      <w:sz w:val="20"/>
      <w:lang w:val="en-AU"/>
    </w:rPr>
  </w:style>
  <w:style w:type="paragraph" w:customStyle="1" w:styleId="Healthfootnote">
    <w:name w:val="Health footnote"/>
    <w:rsid w:val="00A56C72"/>
    <w:pPr>
      <w:spacing w:after="60" w:line="200" w:lineRule="atLeast"/>
      <w:ind w:left="284" w:hanging="284"/>
    </w:pPr>
    <w:rPr>
      <w:rFonts w:ascii="Arial" w:eastAsia="Times New Roman" w:hAnsi="Arial" w:cs="Times New Roman"/>
      <w:color w:val="000000"/>
      <w:sz w:val="16"/>
      <w:lang w:val="en-AU"/>
    </w:rPr>
  </w:style>
  <w:style w:type="paragraph" w:customStyle="1" w:styleId="DHHSbulletindent">
    <w:name w:val="DHHS bullet indent"/>
    <w:basedOn w:val="DHHSbody"/>
    <w:uiPriority w:val="99"/>
    <w:rsid w:val="00A56C72"/>
    <w:pPr>
      <w:numPr>
        <w:ilvl w:val="4"/>
        <w:numId w:val="18"/>
      </w:numPr>
      <w:spacing w:after="40"/>
    </w:pPr>
  </w:style>
  <w:style w:type="paragraph" w:customStyle="1" w:styleId="DHHSbullet1lastline">
    <w:name w:val="DHHS bullet 1 last line"/>
    <w:basedOn w:val="DHHSbullet1"/>
    <w:uiPriority w:val="99"/>
    <w:qFormat/>
    <w:rsid w:val="00A56C72"/>
    <w:pPr>
      <w:numPr>
        <w:ilvl w:val="1"/>
      </w:numPr>
      <w:spacing w:after="120"/>
    </w:pPr>
  </w:style>
  <w:style w:type="paragraph" w:customStyle="1" w:styleId="DHHSbullet2lastline">
    <w:name w:val="DHHS bullet 2 last line"/>
    <w:basedOn w:val="DHHSbullet2"/>
    <w:uiPriority w:val="99"/>
    <w:qFormat/>
    <w:rsid w:val="00A56C72"/>
    <w:pPr>
      <w:numPr>
        <w:ilvl w:val="3"/>
      </w:numPr>
      <w:spacing w:after="120"/>
    </w:pPr>
  </w:style>
  <w:style w:type="character" w:customStyle="1" w:styleId="HealthbodyChar">
    <w:name w:val="Health body Char"/>
    <w:link w:val="Healthbody"/>
    <w:rsid w:val="00A56C72"/>
    <w:rPr>
      <w:rFonts w:ascii="Arial" w:eastAsia="MS Mincho" w:hAnsi="Arial" w:cs="Times New Roman"/>
      <w:sz w:val="20"/>
      <w:lang w:val="en-AU"/>
    </w:rPr>
  </w:style>
  <w:style w:type="numbering" w:customStyle="1" w:styleId="ZZBullets">
    <w:name w:val="ZZ Bullets"/>
    <w:rsid w:val="00A56C72"/>
    <w:pPr>
      <w:numPr>
        <w:numId w:val="18"/>
      </w:numPr>
    </w:pPr>
  </w:style>
  <w:style w:type="paragraph" w:customStyle="1" w:styleId="DHHSbulletindentlastline">
    <w:name w:val="DHHS bullet indent last line"/>
    <w:basedOn w:val="DHHSbody"/>
    <w:uiPriority w:val="99"/>
    <w:rsid w:val="00A56C72"/>
    <w:pPr>
      <w:numPr>
        <w:ilvl w:val="5"/>
        <w:numId w:val="18"/>
      </w:numPr>
    </w:pPr>
  </w:style>
  <w:style w:type="character" w:styleId="CommentReference">
    <w:name w:val="annotation reference"/>
    <w:basedOn w:val="DefaultParagraphFont"/>
    <w:uiPriority w:val="99"/>
    <w:semiHidden/>
    <w:unhideWhenUsed/>
    <w:rsid w:val="00A94B4D"/>
    <w:rPr>
      <w:sz w:val="16"/>
      <w:szCs w:val="16"/>
    </w:rPr>
  </w:style>
  <w:style w:type="paragraph" w:styleId="CommentText">
    <w:name w:val="annotation text"/>
    <w:basedOn w:val="Normal"/>
    <w:link w:val="CommentTextChar"/>
    <w:uiPriority w:val="99"/>
    <w:semiHidden/>
    <w:unhideWhenUsed/>
    <w:rsid w:val="00A94B4D"/>
    <w:rPr>
      <w:sz w:val="20"/>
      <w:szCs w:val="20"/>
    </w:rPr>
  </w:style>
  <w:style w:type="character" w:customStyle="1" w:styleId="CommentTextChar">
    <w:name w:val="Comment Text Char"/>
    <w:basedOn w:val="DefaultParagraphFont"/>
    <w:link w:val="CommentText"/>
    <w:uiPriority w:val="99"/>
    <w:semiHidden/>
    <w:rsid w:val="00A94B4D"/>
    <w:rPr>
      <w:sz w:val="20"/>
      <w:szCs w:val="20"/>
    </w:rPr>
  </w:style>
  <w:style w:type="paragraph" w:styleId="CommentSubject">
    <w:name w:val="annotation subject"/>
    <w:basedOn w:val="CommentText"/>
    <w:next w:val="CommentText"/>
    <w:link w:val="CommentSubjectChar"/>
    <w:uiPriority w:val="99"/>
    <w:semiHidden/>
    <w:unhideWhenUsed/>
    <w:rsid w:val="00A94B4D"/>
    <w:rPr>
      <w:b/>
      <w:bCs/>
    </w:rPr>
  </w:style>
  <w:style w:type="character" w:customStyle="1" w:styleId="CommentSubjectChar">
    <w:name w:val="Comment Subject Char"/>
    <w:basedOn w:val="CommentTextChar"/>
    <w:link w:val="CommentSubject"/>
    <w:uiPriority w:val="99"/>
    <w:semiHidden/>
    <w:rsid w:val="00A94B4D"/>
    <w:rPr>
      <w:b/>
      <w:bCs/>
      <w:sz w:val="20"/>
      <w:szCs w:val="20"/>
    </w:rPr>
  </w:style>
  <w:style w:type="paragraph" w:styleId="BalloonText">
    <w:name w:val="Balloon Text"/>
    <w:basedOn w:val="Normal"/>
    <w:link w:val="BalloonTextChar"/>
    <w:uiPriority w:val="99"/>
    <w:semiHidden/>
    <w:unhideWhenUsed/>
    <w:rsid w:val="00A94B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4D"/>
    <w:rPr>
      <w:rFonts w:ascii="Segoe UI" w:hAnsi="Segoe UI" w:cs="Segoe UI"/>
      <w:sz w:val="18"/>
      <w:szCs w:val="18"/>
    </w:rPr>
  </w:style>
  <w:style w:type="character" w:customStyle="1" w:styleId="UnresolvedMention2">
    <w:name w:val="Unresolved Mention2"/>
    <w:basedOn w:val="DefaultParagraphFont"/>
    <w:uiPriority w:val="99"/>
    <w:semiHidden/>
    <w:unhideWhenUsed/>
    <w:rsid w:val="0002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752123841">
      <w:bodyDiv w:val="1"/>
      <w:marLeft w:val="0"/>
      <w:marRight w:val="0"/>
      <w:marTop w:val="0"/>
      <w:marBottom w:val="0"/>
      <w:divBdr>
        <w:top w:val="none" w:sz="0" w:space="0" w:color="auto"/>
        <w:left w:val="none" w:sz="0" w:space="0" w:color="auto"/>
        <w:bottom w:val="none" w:sz="0" w:space="0" w:color="auto"/>
        <w:right w:val="none" w:sz="0" w:space="0" w:color="auto"/>
      </w:divBdr>
    </w:div>
    <w:div w:id="116458609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67213621">
      <w:bodyDiv w:val="1"/>
      <w:marLeft w:val="0"/>
      <w:marRight w:val="0"/>
      <w:marTop w:val="0"/>
      <w:marBottom w:val="0"/>
      <w:divBdr>
        <w:top w:val="none" w:sz="0" w:space="0" w:color="auto"/>
        <w:left w:val="none" w:sz="0" w:space="0" w:color="auto"/>
        <w:bottom w:val="none" w:sz="0" w:space="0" w:color="auto"/>
        <w:right w:val="none" w:sz="0" w:space="0" w:color="auto"/>
      </w:divBdr>
    </w:div>
    <w:div w:id="1484202416">
      <w:bodyDiv w:val="1"/>
      <w:marLeft w:val="0"/>
      <w:marRight w:val="0"/>
      <w:marTop w:val="0"/>
      <w:marBottom w:val="0"/>
      <w:divBdr>
        <w:top w:val="none" w:sz="0" w:space="0" w:color="auto"/>
        <w:left w:val="none" w:sz="0" w:space="0" w:color="auto"/>
        <w:bottom w:val="none" w:sz="0" w:space="0" w:color="auto"/>
        <w:right w:val="none" w:sz="0" w:space="0" w:color="auto"/>
      </w:divBdr>
    </w:div>
    <w:div w:id="1590851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ucation.vic.gov.au/Pages/copyright.aspx" TargetMode="External"/><Relationship Id="rId3" Type="http://schemas.openxmlformats.org/officeDocument/2006/relationships/customXml" Target="../customXml/item3.xml"/><Relationship Id="rId21" Type="http://schemas.openxmlformats.org/officeDocument/2006/relationships/hyperlink" Target="https://www.education.vic.gov.au/Pages/copyright.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tobaccoreforms" TargetMode="External"/><Relationship Id="rId20" Type="http://schemas.openxmlformats.org/officeDocument/2006/relationships/hyperlink" Target="https://www.education.vic.gov.au/Pages/copyrigh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tf.vic.gov.au/financial-management-government/indexation-fees-and-penalties" TargetMode="External"/><Relationship Id="rId23" Type="http://schemas.openxmlformats.org/officeDocument/2006/relationships/hyperlink" Target="https://www.education.vic.gov.au/Pages/copyright.aspx"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332</Topic>
    <Expired xmlns="bb5ce4db-eb21-467d-b968-528655912a38">false</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72592-2F2B-40BE-87CA-C9FB8AA68C50}">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8B25F308-46B9-4176-B686-30601639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E4C37-35C3-4DB7-B4CA-C135D5E872F2}">
  <ds:schemaRefs>
    <ds:schemaRef ds:uri="http://schemas.openxmlformats.org/officeDocument/2006/bibliography"/>
  </ds:schemaRefs>
</ds:datastoreItem>
</file>

<file path=customXml/itemProps4.xml><?xml version="1.0" encoding="utf-8"?>
<ds:datastoreItem xmlns:ds="http://schemas.openxmlformats.org/officeDocument/2006/customXml" ds:itemID="{6AB3A8A8-A812-4D23-BEA3-645D9D83F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Shaun Gordon</cp:lastModifiedBy>
  <cp:revision>2</cp:revision>
  <cp:lastPrinted>2021-05-03T02:07:00Z</cp:lastPrinted>
  <dcterms:created xsi:type="dcterms:W3CDTF">2021-05-03T05:46:00Z</dcterms:created>
  <dcterms:modified xsi:type="dcterms:W3CDTF">2021-05-03T05:46:00Z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ies>
</file>